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Mar>
          <w:top w:w="15" w:type="dxa"/>
          <w:left w:w="15" w:type="dxa"/>
          <w:bottom w:w="15" w:type="dxa"/>
          <w:right w:w="15" w:type="dxa"/>
        </w:tblCellMar>
        <w:tblLook w:val="04A0"/>
      </w:tblPr>
      <w:tblGrid>
        <w:gridCol w:w="1164"/>
        <w:gridCol w:w="126"/>
        <w:gridCol w:w="5796"/>
      </w:tblGrid>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r w:rsidRPr="0033073D">
              <w:rPr>
                <w:rFonts w:ascii="新細明體" w:eastAsia="新細明體" w:hAnsi="新細明體" w:cs="新細明體"/>
                <w:kern w:val="0"/>
                <w:szCs w:val="24"/>
              </w:rPr>
              <w:fldChar w:fldCharType="begin"/>
            </w:r>
            <w:r w:rsidRPr="0033073D">
              <w:rPr>
                <w:rFonts w:ascii="新細明體" w:eastAsia="新細明體" w:hAnsi="新細明體" w:cs="新細明體"/>
                <w:kern w:val="0"/>
                <w:szCs w:val="24"/>
              </w:rPr>
              <w:instrText xml:space="preserve"> HYPERLINK "http://law.moj.gov.tw/LawClass/LawSingle.aspx?Pcode=I0050005&amp;FLNO=1" </w:instrText>
            </w:r>
            <w:r w:rsidRPr="0033073D">
              <w:rPr>
                <w:rFonts w:ascii="新細明體" w:eastAsia="新細明體" w:hAnsi="新細明體" w:cs="新細明體"/>
                <w:kern w:val="0"/>
                <w:szCs w:val="24"/>
              </w:rPr>
              <w:fldChar w:fldCharType="separate"/>
            </w:r>
            <w:r w:rsidRPr="0033073D">
              <w:rPr>
                <w:rFonts w:ascii="新細明體" w:eastAsia="新細明體" w:hAnsi="新細明體" w:cs="新細明體"/>
                <w:color w:val="0000FF"/>
                <w:kern w:val="0"/>
                <w:szCs w:val="24"/>
                <w:u w:val="single"/>
              </w:rPr>
              <w:t>第 1 條</w:t>
            </w:r>
            <w:r w:rsidRPr="0033073D">
              <w:rPr>
                <w:rFonts w:ascii="新細明體" w:eastAsia="新細明體" w:hAnsi="新細明體" w:cs="新細明體"/>
                <w:kern w:val="0"/>
                <w:szCs w:val="24"/>
              </w:rPr>
              <w:fldChar w:fldCharType="end"/>
            </w:r>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為保護因犯罪行為被害而死亡者之遺屬、受重傷者及性侵害犯罪行為被害人，以保障人民權益，促進社會安全，特制定本法。</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7" w:history="1">
              <w:r w:rsidRPr="0033073D">
                <w:rPr>
                  <w:rFonts w:ascii="新細明體" w:eastAsia="新細明體" w:hAnsi="新細明體" w:cs="新細明體"/>
                  <w:color w:val="0000FF"/>
                  <w:kern w:val="0"/>
                  <w:szCs w:val="24"/>
                  <w:u w:val="single"/>
                </w:rPr>
                <w:t>第 2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犯罪被害人之保護，依本法之規定。但其他法律另有規定者，從其規定。</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8" w:history="1">
              <w:r w:rsidRPr="0033073D">
                <w:rPr>
                  <w:rFonts w:ascii="新細明體" w:eastAsia="新細明體" w:hAnsi="新細明體" w:cs="新細明體"/>
                  <w:color w:val="0000FF"/>
                  <w:kern w:val="0"/>
                  <w:szCs w:val="24"/>
                  <w:u w:val="single"/>
                </w:rPr>
                <w:t>第 3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33073D">
              <w:rPr>
                <w:rFonts w:ascii="細明體" w:eastAsia="細明體" w:hAnsi="細明體" w:cs="細明體" w:hint="eastAsia"/>
                <w:kern w:val="0"/>
                <w:szCs w:val="24"/>
              </w:rPr>
              <w:t>本法用詞</w:t>
            </w:r>
            <w:proofErr w:type="gramEnd"/>
            <w:r w:rsidRPr="0033073D">
              <w:rPr>
                <w:rFonts w:ascii="細明體" w:eastAsia="細明體" w:hAnsi="細明體" w:cs="細明體" w:hint="eastAsia"/>
                <w:kern w:val="0"/>
                <w:szCs w:val="24"/>
              </w:rPr>
              <w:t>，定義如下：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犯罪行為：指在中華民國領域內，或在中華民國領域外之中華民國船艦或航空器內，故意或過失侵害他人生命、身體，依中華民國法律有刑罰規定之行為及刑法第十八條第一項、第十九條第一項及第二十四條第一項前段規定不罰之行為。</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二、性侵害犯罪行為被害人：</w:t>
            </w:r>
            <w:proofErr w:type="gramStart"/>
            <w:r w:rsidRPr="0033073D">
              <w:rPr>
                <w:rFonts w:ascii="細明體" w:eastAsia="細明體" w:hAnsi="細明體" w:cs="細明體" w:hint="eastAsia"/>
                <w:kern w:val="0"/>
                <w:szCs w:val="24"/>
              </w:rPr>
              <w:t>指犯刑法</w:t>
            </w:r>
            <w:proofErr w:type="gramEnd"/>
            <w:r w:rsidRPr="0033073D">
              <w:rPr>
                <w:rFonts w:ascii="細明體" w:eastAsia="細明體" w:hAnsi="細明體" w:cs="細明體" w:hint="eastAsia"/>
                <w:kern w:val="0"/>
                <w:szCs w:val="24"/>
              </w:rPr>
              <w:t>第二百二十一條、第二百二十二條、第二百二十四條、第二百二十四條之一、第二百二十五條、第二百二十六條、第二百二十六條之一、第二百二十八條、第二百二十九條、第三百三十二條第二項第二款、第三百三十四條第二項第二款、第三百四十八條第二項第一款與兒童及少年性交易防制條例第二十四條、第二十五條第一項至第五項、第二十六條、第二十七條第四項或其未遂犯之罪之被害人。犯刑法第二百二十七條之罪而被害人有精神、身體障礙、心智缺陷或其他相類情形或因受利誘、詐術等不正當方法而被害，或加害人係利用權勢而犯之，或加害人與被害人為家庭暴力防治法第三條所定之家庭成員者，亦同。</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三、犯罪被害補償金：指國家依本法補償因犯罪行為被害而死亡者之遺屬、受重傷者及性侵害犯罪行為被害人所受財產及精神上損失之金錢。</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9" w:history="1">
              <w:r w:rsidRPr="0033073D">
                <w:rPr>
                  <w:rFonts w:ascii="新細明體" w:eastAsia="新細明體" w:hAnsi="新細明體" w:cs="新細明體"/>
                  <w:color w:val="0000FF"/>
                  <w:kern w:val="0"/>
                  <w:szCs w:val="24"/>
                  <w:u w:val="single"/>
                </w:rPr>
                <w:t>第 4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因犯罪行為被害而死亡者之遺屬、受重傷者及性侵害犯罪行為被害人，得申請犯罪被害補償金。</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前項犯罪被害補償金，由地方法院或其分院檢察署支付；所需經費來源如下：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一、法務部編列預算。</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二、監所作業者之勞作金總額</w:t>
            </w:r>
            <w:proofErr w:type="gramStart"/>
            <w:r w:rsidRPr="0033073D">
              <w:rPr>
                <w:rFonts w:ascii="細明體" w:eastAsia="細明體" w:hAnsi="細明體" w:cs="細明體" w:hint="eastAsia"/>
                <w:kern w:val="0"/>
                <w:szCs w:val="24"/>
              </w:rPr>
              <w:t>提撥</w:t>
            </w:r>
            <w:proofErr w:type="gramEnd"/>
            <w:r w:rsidRPr="0033073D">
              <w:rPr>
                <w:rFonts w:ascii="細明體" w:eastAsia="細明體" w:hAnsi="細明體" w:cs="細明體" w:hint="eastAsia"/>
                <w:kern w:val="0"/>
                <w:szCs w:val="24"/>
              </w:rPr>
              <w:t>部分金額。</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三、犯罪行為人因犯罪所得或其財產經依法沒收變賣者。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四、犯罪行為人因宣告緩刑、緩起訴處分或協商判決而應支付一定之金額總額</w:t>
            </w:r>
            <w:proofErr w:type="gramStart"/>
            <w:r w:rsidRPr="0033073D">
              <w:rPr>
                <w:rFonts w:ascii="細明體" w:eastAsia="細明體" w:hAnsi="細明體" w:cs="細明體" w:hint="eastAsia"/>
                <w:kern w:val="0"/>
                <w:szCs w:val="24"/>
              </w:rPr>
              <w:t>提撥</w:t>
            </w:r>
            <w:proofErr w:type="gramEnd"/>
            <w:r w:rsidRPr="0033073D">
              <w:rPr>
                <w:rFonts w:ascii="細明體" w:eastAsia="細明體" w:hAnsi="細明體" w:cs="細明體" w:hint="eastAsia"/>
                <w:kern w:val="0"/>
                <w:szCs w:val="24"/>
              </w:rPr>
              <w:t>部分金額。</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五、其他收入。</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0" w:history="1">
              <w:r w:rsidRPr="0033073D">
                <w:rPr>
                  <w:rFonts w:ascii="新細明體" w:eastAsia="新細明體" w:hAnsi="新細明體" w:cs="新細明體"/>
                  <w:color w:val="0000FF"/>
                  <w:kern w:val="0"/>
                  <w:szCs w:val="24"/>
                  <w:u w:val="single"/>
                </w:rPr>
                <w:t>第 4-1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法務部為加強推動犯罪被害保護相關工作，得設犯罪被害人保護基金。</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1" w:history="1">
              <w:r w:rsidRPr="0033073D">
                <w:rPr>
                  <w:rFonts w:ascii="新細明體" w:eastAsia="新細明體" w:hAnsi="新細明體" w:cs="新細明體"/>
                  <w:color w:val="0000FF"/>
                  <w:kern w:val="0"/>
                  <w:szCs w:val="24"/>
                  <w:u w:val="single"/>
                </w:rPr>
                <w:t>第 5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犯罪被害補償金之種類及支付對象如下：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一、遺屬補償金：支付因犯罪行為被害而死亡者之遺屬。</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二、重傷補償金：支付因犯罪行為被害而受重傷者。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三、性侵害補償金：支付因性侵害犯罪行為而被害者。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前項補償金應一次支付。但得因申請人之申請分期支付。</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2" w:history="1">
              <w:r w:rsidRPr="0033073D">
                <w:rPr>
                  <w:rFonts w:ascii="新細明體" w:eastAsia="新細明體" w:hAnsi="新細明體" w:cs="新細明體"/>
                  <w:color w:val="0000FF"/>
                  <w:kern w:val="0"/>
                  <w:szCs w:val="24"/>
                  <w:u w:val="single"/>
                </w:rPr>
                <w:t>第 6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得申請遺屬補償金之遺屬，依下列順序定之：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一、父母、配偶及子女。</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二、祖父母。</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三、孫子女。</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四、兄弟姊妹。</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前項第二、三、四款</w:t>
            </w:r>
            <w:proofErr w:type="gramStart"/>
            <w:r w:rsidRPr="0033073D">
              <w:rPr>
                <w:rFonts w:ascii="細明體" w:eastAsia="細明體" w:hAnsi="細明體" w:cs="細明體" w:hint="eastAsia"/>
                <w:kern w:val="0"/>
                <w:szCs w:val="24"/>
              </w:rPr>
              <w:t>所列遺屬</w:t>
            </w:r>
            <w:proofErr w:type="gramEnd"/>
            <w:r w:rsidRPr="0033073D">
              <w:rPr>
                <w:rFonts w:ascii="細明體" w:eastAsia="細明體" w:hAnsi="細明體" w:cs="細明體" w:hint="eastAsia"/>
                <w:kern w:val="0"/>
                <w:szCs w:val="24"/>
              </w:rPr>
              <w:t>，申請第九條第一項第三款所定補償金者，以依賴被害人扶養維持生活者為限。</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3" w:history="1">
              <w:r w:rsidRPr="0033073D">
                <w:rPr>
                  <w:rFonts w:ascii="新細明體" w:eastAsia="新細明體" w:hAnsi="新細明體" w:cs="新細明體"/>
                  <w:color w:val="0000FF"/>
                  <w:kern w:val="0"/>
                  <w:szCs w:val="24"/>
                  <w:u w:val="single"/>
                </w:rPr>
                <w:t>第 7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被害人因重傷或受性侵害，無法申請重傷或性侵害補償金時，得委任代理人代為申請。被害人無法委任代理人者，得由其最近親屬、戶籍所在地之各直轄市及縣（市）政府或財團法人犯罪被害人保護協會代為申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受重傷或性侵害犯罪行為之被害人如係未成年、受監護宣告或輔助宣告之人，而其法定代理人或輔助人為加害人時，被害人之最近親屬、戶籍所在地之各直轄市及縣（市）政府或財團法人犯罪被害人保護協會得代為申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4" w:history="1">
              <w:r w:rsidRPr="0033073D">
                <w:rPr>
                  <w:rFonts w:ascii="新細明體" w:eastAsia="新細明體" w:hAnsi="新細明體" w:cs="新細明體"/>
                  <w:color w:val="0000FF"/>
                  <w:kern w:val="0"/>
                  <w:szCs w:val="24"/>
                  <w:u w:val="single"/>
                </w:rPr>
                <w:t>第 8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有下列各款情形之</w:t>
            </w:r>
            <w:proofErr w:type="gramStart"/>
            <w:r w:rsidRPr="0033073D">
              <w:rPr>
                <w:rFonts w:ascii="細明體" w:eastAsia="細明體" w:hAnsi="細明體" w:cs="細明體" w:hint="eastAsia"/>
                <w:kern w:val="0"/>
                <w:szCs w:val="24"/>
              </w:rPr>
              <w:t>一</w:t>
            </w:r>
            <w:proofErr w:type="gramEnd"/>
            <w:r w:rsidRPr="0033073D">
              <w:rPr>
                <w:rFonts w:ascii="細明體" w:eastAsia="細明體" w:hAnsi="細明體" w:cs="細明體" w:hint="eastAsia"/>
                <w:kern w:val="0"/>
                <w:szCs w:val="24"/>
              </w:rPr>
              <w:t>者，不得申請遺屬補償金：</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一、故意或過失使被害人死亡者。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二、被害人死亡前，故意使因被害人死亡而得申請遺屬補償金之先順序或同順序之遺屬死亡者。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三、被害人死亡後，故意使得申請遺屬補償金之先順序或同順序之遺屬死亡者。</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5" w:history="1">
              <w:r w:rsidRPr="0033073D">
                <w:rPr>
                  <w:rFonts w:ascii="新細明體" w:eastAsia="新細明體" w:hAnsi="新細明體" w:cs="新細明體"/>
                  <w:color w:val="0000FF"/>
                  <w:kern w:val="0"/>
                  <w:szCs w:val="24"/>
                  <w:u w:val="single"/>
                </w:rPr>
                <w:t>第 9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補償之項目及其最高金額如下：</w:t>
            </w:r>
          </w:p>
          <w:p w:rsidR="0033073D" w:rsidRPr="0033073D" w:rsidRDefault="0033073D" w:rsidP="0033073D">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 xml:space="preserve">因被害人受傷所支出之醫療費，最高金額不得逾新 </w:t>
            </w:r>
          </w:p>
          <w:p w:rsidR="0033073D" w:rsidRPr="0033073D" w:rsidRDefault="0033073D" w:rsidP="0033073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臺幣四十萬元。</w:t>
            </w:r>
          </w:p>
          <w:p w:rsidR="0033073D" w:rsidRPr="0033073D" w:rsidRDefault="0033073D" w:rsidP="0033073D">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 xml:space="preserve">因被害人死亡所支出之殯葬費，最高金額不得逾新 </w:t>
            </w:r>
          </w:p>
          <w:p w:rsidR="0033073D" w:rsidRPr="0033073D" w:rsidRDefault="0033073D" w:rsidP="0033073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臺幣三十萬元。</w:t>
            </w:r>
          </w:p>
          <w:p w:rsidR="0033073D" w:rsidRPr="0033073D" w:rsidRDefault="0033073D" w:rsidP="0033073D">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因被害人死亡致無法履行之法定扶養義務，最高金</w:t>
            </w:r>
          </w:p>
          <w:p w:rsidR="0033073D" w:rsidRPr="0033073D" w:rsidRDefault="0033073D" w:rsidP="0033073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額</w:t>
            </w:r>
            <w:proofErr w:type="gramStart"/>
            <w:r w:rsidRPr="0033073D">
              <w:rPr>
                <w:rFonts w:ascii="細明體" w:eastAsia="細明體" w:hAnsi="細明體" w:cs="細明體" w:hint="eastAsia"/>
                <w:kern w:val="0"/>
                <w:szCs w:val="24"/>
              </w:rPr>
              <w:t>不得逾新臺幣一</w:t>
            </w:r>
            <w:proofErr w:type="gramEnd"/>
            <w:r w:rsidRPr="0033073D">
              <w:rPr>
                <w:rFonts w:ascii="細明體" w:eastAsia="細明體" w:hAnsi="細明體" w:cs="細明體" w:hint="eastAsia"/>
                <w:kern w:val="0"/>
                <w:szCs w:val="24"/>
              </w:rPr>
              <w:t>百萬元。</w:t>
            </w:r>
          </w:p>
          <w:p w:rsidR="0033073D" w:rsidRPr="0033073D" w:rsidRDefault="0033073D" w:rsidP="0033073D">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受重傷或性侵害犯罪行為之被害人所喪失或減少之</w:t>
            </w:r>
          </w:p>
          <w:p w:rsidR="0033073D" w:rsidRPr="0033073D" w:rsidRDefault="0033073D" w:rsidP="0033073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細明體" w:eastAsia="細明體" w:hAnsi="細明體" w:cs="細明體" w:hint="eastAsia"/>
                <w:kern w:val="0"/>
                <w:szCs w:val="24"/>
              </w:rPr>
            </w:pPr>
            <w:r w:rsidRPr="0033073D">
              <w:rPr>
                <w:rFonts w:ascii="細明體" w:eastAsia="細明體" w:hAnsi="細明體" w:cs="細明體" w:hint="eastAsia"/>
                <w:kern w:val="0"/>
                <w:szCs w:val="24"/>
              </w:rPr>
              <w:t>勞動能力或增加之生活上需要，最高金額</w:t>
            </w:r>
            <w:proofErr w:type="gramStart"/>
            <w:r w:rsidRPr="0033073D">
              <w:rPr>
                <w:rFonts w:ascii="細明體" w:eastAsia="細明體" w:hAnsi="細明體" w:cs="細明體" w:hint="eastAsia"/>
                <w:kern w:val="0"/>
                <w:szCs w:val="24"/>
              </w:rPr>
              <w:t>不得逾新臺幣一</w:t>
            </w:r>
            <w:proofErr w:type="gramEnd"/>
            <w:r w:rsidRPr="0033073D">
              <w:rPr>
                <w:rFonts w:ascii="細明體" w:eastAsia="細明體" w:hAnsi="細明體" w:cs="細明體" w:hint="eastAsia"/>
                <w:kern w:val="0"/>
                <w:szCs w:val="24"/>
              </w:rPr>
              <w:t>百萬元。</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五、精神</w:t>
            </w:r>
            <w:proofErr w:type="gramStart"/>
            <w:r w:rsidRPr="0033073D">
              <w:rPr>
                <w:rFonts w:ascii="細明體" w:eastAsia="細明體" w:hAnsi="細明體" w:cs="細明體" w:hint="eastAsia"/>
                <w:kern w:val="0"/>
                <w:szCs w:val="24"/>
              </w:rPr>
              <w:t>慰</w:t>
            </w:r>
            <w:proofErr w:type="gramEnd"/>
            <w:r w:rsidRPr="0033073D">
              <w:rPr>
                <w:rFonts w:ascii="細明體" w:eastAsia="細明體" w:hAnsi="細明體" w:cs="細明體" w:hint="eastAsia"/>
                <w:kern w:val="0"/>
                <w:szCs w:val="24"/>
              </w:rPr>
              <w:t>撫金，最高金額</w:t>
            </w:r>
            <w:proofErr w:type="gramStart"/>
            <w:r w:rsidRPr="0033073D">
              <w:rPr>
                <w:rFonts w:ascii="細明體" w:eastAsia="細明體" w:hAnsi="細明體" w:cs="細明體" w:hint="eastAsia"/>
                <w:kern w:val="0"/>
                <w:szCs w:val="24"/>
              </w:rPr>
              <w:t>不得逾新臺幣</w:t>
            </w:r>
            <w:proofErr w:type="gramEnd"/>
            <w:r w:rsidRPr="0033073D">
              <w:rPr>
                <w:rFonts w:ascii="細明體" w:eastAsia="細明體" w:hAnsi="細明體" w:cs="細明體" w:hint="eastAsia"/>
                <w:kern w:val="0"/>
                <w:szCs w:val="24"/>
              </w:rPr>
              <w:t>四十萬元。</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lastRenderedPageBreak/>
              <w:t>因犯罪行為被害而死亡者之遺屬，得申請前項第一款至第三款及第五款所定補償金；因犯罪行為被害而受重傷者或性侵害犯罪行為而被害者，得申請前項第一款、第四款及第五款所定補償金。</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得申請補償金之遺屬有數人時，每一遺屬均得分別申請，其補償數額於第一項各款所定金額內酌定之。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申請第一項第三款、第五款補償金之</w:t>
            </w:r>
            <w:proofErr w:type="gramStart"/>
            <w:r w:rsidRPr="0033073D">
              <w:rPr>
                <w:rFonts w:ascii="細明體" w:eastAsia="細明體" w:hAnsi="細明體" w:cs="細明體" w:hint="eastAsia"/>
                <w:kern w:val="0"/>
                <w:szCs w:val="24"/>
              </w:rPr>
              <w:t>遺屬如係</w:t>
            </w:r>
            <w:proofErr w:type="gramEnd"/>
            <w:r w:rsidRPr="0033073D">
              <w:rPr>
                <w:rFonts w:ascii="細明體" w:eastAsia="細明體" w:hAnsi="細明體" w:cs="細明體" w:hint="eastAsia"/>
                <w:kern w:val="0"/>
                <w:szCs w:val="24"/>
              </w:rPr>
              <w:t>未成年人，於其</w:t>
            </w:r>
            <w:proofErr w:type="gramStart"/>
            <w:r w:rsidRPr="0033073D">
              <w:rPr>
                <w:rFonts w:ascii="細明體" w:eastAsia="細明體" w:hAnsi="細明體" w:cs="細明體" w:hint="eastAsia"/>
                <w:kern w:val="0"/>
                <w:szCs w:val="24"/>
              </w:rPr>
              <w:t>成年前</w:t>
            </w:r>
            <w:proofErr w:type="gramEnd"/>
            <w:r w:rsidRPr="0033073D">
              <w:rPr>
                <w:rFonts w:ascii="細明體" w:eastAsia="細明體" w:hAnsi="細明體" w:cs="細明體" w:hint="eastAsia"/>
                <w:kern w:val="0"/>
                <w:szCs w:val="24"/>
              </w:rPr>
              <w:t>、受監護宣告或輔助宣告之人於撤銷宣告前，其補償金額得委交犯罪被害人保護機構信託管理，分期或以其孳息按月支付之。申請第一項補償金之性侵害犯罪行為被害人如係未成年人、受監護宣告或輔助宣告之人，而其法定代理人或輔助人為加害人時，亦同。</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6" w:history="1">
              <w:r w:rsidRPr="0033073D">
                <w:rPr>
                  <w:rFonts w:ascii="新細明體" w:eastAsia="新細明體" w:hAnsi="新細明體" w:cs="新細明體"/>
                  <w:color w:val="0000FF"/>
                  <w:kern w:val="0"/>
                  <w:szCs w:val="24"/>
                  <w:u w:val="single"/>
                </w:rPr>
                <w:t>第 10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有下列各款情形之</w:t>
            </w:r>
            <w:proofErr w:type="gramStart"/>
            <w:r w:rsidRPr="0033073D">
              <w:rPr>
                <w:rFonts w:ascii="細明體" w:eastAsia="細明體" w:hAnsi="細明體" w:cs="細明體" w:hint="eastAsia"/>
                <w:kern w:val="0"/>
                <w:szCs w:val="24"/>
              </w:rPr>
              <w:t>一</w:t>
            </w:r>
            <w:proofErr w:type="gramEnd"/>
            <w:r w:rsidRPr="0033073D">
              <w:rPr>
                <w:rFonts w:ascii="細明體" w:eastAsia="細明體" w:hAnsi="細明體" w:cs="細明體" w:hint="eastAsia"/>
                <w:kern w:val="0"/>
                <w:szCs w:val="24"/>
              </w:rPr>
              <w:t>者，得不補償其損失之全部或一部：</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一、被害人對其被害有可歸責之事由者。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二、斟酌被害人或其遺屬與犯罪行為人之關係及其他情事，依一般社會觀念，認為支付補償金有失妥當者。</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7" w:history="1">
              <w:r w:rsidRPr="0033073D">
                <w:rPr>
                  <w:rFonts w:ascii="新細明體" w:eastAsia="新細明體" w:hAnsi="新細明體" w:cs="新細明體"/>
                  <w:color w:val="0000FF"/>
                  <w:kern w:val="0"/>
                  <w:szCs w:val="24"/>
                  <w:u w:val="single"/>
                </w:rPr>
                <w:t>第 11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依本法請求補償之人，已受有社會保險、損害賠償給付或因犯罪行為被害依其他法律規定得受之金錢給付，應自犯罪被害補償金中減除之。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8" w:history="1">
              <w:r w:rsidRPr="0033073D">
                <w:rPr>
                  <w:rFonts w:ascii="新細明體" w:eastAsia="新細明體" w:hAnsi="新細明體" w:cs="新細明體"/>
                  <w:color w:val="0000FF"/>
                  <w:kern w:val="0"/>
                  <w:szCs w:val="24"/>
                  <w:u w:val="single"/>
                </w:rPr>
                <w:t>第 12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國家於支付犯罪被害補償金後，於補償金額範圍內，對犯罪行為人或依法應負賠償責任之人有求償權。</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前項求償權，由支付補償金之地方法院或其分院檢察署行使。必要時，得報請上級法院檢察署指定其他地方法院或其分院檢察署為之。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第一項之求償權，因二年間不行使而消滅。於支付補償金時，犯罪行為人或應負賠償責任之人不明者，自得知犯罪行為人或應負賠償責任之人時起算。</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19" w:history="1">
              <w:r w:rsidRPr="0033073D">
                <w:rPr>
                  <w:rFonts w:ascii="新細明體" w:eastAsia="新細明體" w:hAnsi="新細明體" w:cs="新細明體"/>
                  <w:color w:val="0000FF"/>
                  <w:kern w:val="0"/>
                  <w:szCs w:val="24"/>
                  <w:u w:val="single"/>
                </w:rPr>
                <w:t>第 12-1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地方法院或其分院檢察署依前條規定行使求償權時，得向稅捐及其他有關機關、團體，調查犯罪行為人或依法應負賠償責任之人之財產狀況，受調查者不得拒絕。</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0" w:history="1">
              <w:r w:rsidRPr="0033073D">
                <w:rPr>
                  <w:rFonts w:ascii="新細明體" w:eastAsia="新細明體" w:hAnsi="新細明體" w:cs="新細明體"/>
                  <w:color w:val="0000FF"/>
                  <w:kern w:val="0"/>
                  <w:szCs w:val="24"/>
                  <w:u w:val="single"/>
                </w:rPr>
                <w:t>第 13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受領之犯罪被害補償金有下列情形之</w:t>
            </w:r>
            <w:proofErr w:type="gramStart"/>
            <w:r w:rsidRPr="0033073D">
              <w:rPr>
                <w:rFonts w:ascii="細明體" w:eastAsia="細明體" w:hAnsi="細明體" w:cs="細明體" w:hint="eastAsia"/>
                <w:kern w:val="0"/>
                <w:szCs w:val="24"/>
              </w:rPr>
              <w:t>一</w:t>
            </w:r>
            <w:proofErr w:type="gramEnd"/>
            <w:r w:rsidRPr="0033073D">
              <w:rPr>
                <w:rFonts w:ascii="細明體" w:eastAsia="細明體" w:hAnsi="細明體" w:cs="細明體" w:hint="eastAsia"/>
                <w:kern w:val="0"/>
                <w:szCs w:val="24"/>
              </w:rPr>
              <w:t>者，應予返還：</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一、有第十一條所定應減除之情形或復受損害賠償者，於其所受或得受之金額內返還之。</w:t>
            </w:r>
          </w:p>
          <w:p w:rsid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二、經查明其係不得申請犯罪被害補償金者，全部返還</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三、以虛偽或其他不正當方法受領犯罪被害補償金者，全部返還之，並加計自受領之日起計算之利息。</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1" w:history="1">
              <w:r w:rsidRPr="0033073D">
                <w:rPr>
                  <w:rFonts w:ascii="新細明體" w:eastAsia="新細明體" w:hAnsi="新細明體" w:cs="新細明體"/>
                  <w:color w:val="0000FF"/>
                  <w:kern w:val="0"/>
                  <w:szCs w:val="24"/>
                  <w:u w:val="single"/>
                </w:rPr>
                <w:t>第 14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地方法院及其分院檢察署設犯罪被害人補償審議委員會 (以下簡稱審議委員會) ，掌理補償之決定及其他有關事務。</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高等法院及其分院檢察署設犯罪被害人補償覆審委員會 (以下簡稱覆審委員會) ，就有關犯罪被害人補償事務，指揮監督審議委員會，並受理不服審議委員會決定之覆議事件及</w:t>
            </w:r>
            <w:proofErr w:type="gramStart"/>
            <w:r w:rsidRPr="0033073D">
              <w:rPr>
                <w:rFonts w:ascii="細明體" w:eastAsia="細明體" w:hAnsi="細明體" w:cs="細明體" w:hint="eastAsia"/>
                <w:kern w:val="0"/>
                <w:szCs w:val="24"/>
              </w:rPr>
              <w:t>逕</w:t>
            </w:r>
            <w:proofErr w:type="gramEnd"/>
            <w:r w:rsidRPr="0033073D">
              <w:rPr>
                <w:rFonts w:ascii="細明體" w:eastAsia="細明體" w:hAnsi="細明體" w:cs="細明體" w:hint="eastAsia"/>
                <w:kern w:val="0"/>
                <w:szCs w:val="24"/>
              </w:rPr>
              <w:t>為決定事件。</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覆審委員會及審議</w:t>
            </w:r>
            <w:proofErr w:type="gramStart"/>
            <w:r w:rsidRPr="0033073D">
              <w:rPr>
                <w:rFonts w:ascii="細明體" w:eastAsia="細明體" w:hAnsi="細明體" w:cs="細明體" w:hint="eastAsia"/>
                <w:kern w:val="0"/>
                <w:szCs w:val="24"/>
              </w:rPr>
              <w:t>委員會均置主任委員</w:t>
            </w:r>
            <w:proofErr w:type="gramEnd"/>
            <w:r w:rsidRPr="0033073D">
              <w:rPr>
                <w:rFonts w:ascii="細明體" w:eastAsia="細明體" w:hAnsi="細明體" w:cs="細明體" w:hint="eastAsia"/>
                <w:kern w:val="0"/>
                <w:szCs w:val="24"/>
              </w:rPr>
              <w:t>一人，分別由高等法院或其分院檢察署檢察長、地方法院或其分院檢察署檢察長兼任；委員六人至十人，由檢察長遴選檢察官及其他具有法律、醫學或相關專門學識之人士，報請法</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33073D">
              <w:rPr>
                <w:rFonts w:ascii="細明體" w:eastAsia="細明體" w:hAnsi="細明體" w:cs="細明體" w:hint="eastAsia"/>
                <w:kern w:val="0"/>
                <w:szCs w:val="24"/>
              </w:rPr>
              <w:t>務</w:t>
            </w:r>
            <w:proofErr w:type="gramEnd"/>
            <w:r w:rsidRPr="0033073D">
              <w:rPr>
                <w:rFonts w:ascii="細明體" w:eastAsia="細明體" w:hAnsi="細明體" w:cs="細明體" w:hint="eastAsia"/>
                <w:kern w:val="0"/>
                <w:szCs w:val="24"/>
              </w:rPr>
              <w:t>部</w:t>
            </w:r>
            <w:proofErr w:type="gramStart"/>
            <w:r w:rsidRPr="0033073D">
              <w:rPr>
                <w:rFonts w:ascii="細明體" w:eastAsia="細明體" w:hAnsi="細明體" w:cs="細明體" w:hint="eastAsia"/>
                <w:kern w:val="0"/>
                <w:szCs w:val="24"/>
              </w:rPr>
              <w:t>核定後聘兼</w:t>
            </w:r>
            <w:proofErr w:type="gramEnd"/>
            <w:r w:rsidRPr="0033073D">
              <w:rPr>
                <w:rFonts w:ascii="細明體" w:eastAsia="細明體" w:hAnsi="細明體" w:cs="細明體" w:hint="eastAsia"/>
                <w:kern w:val="0"/>
                <w:szCs w:val="24"/>
              </w:rPr>
              <w:t>之；職員由檢察署就其員額</w:t>
            </w:r>
            <w:proofErr w:type="gramStart"/>
            <w:r w:rsidRPr="0033073D">
              <w:rPr>
                <w:rFonts w:ascii="細明體" w:eastAsia="細明體" w:hAnsi="細明體" w:cs="細明體" w:hint="eastAsia"/>
                <w:kern w:val="0"/>
                <w:szCs w:val="24"/>
              </w:rPr>
              <w:t>內調兼之</w:t>
            </w:r>
            <w:proofErr w:type="gramEnd"/>
            <w:r w:rsidRPr="0033073D">
              <w:rPr>
                <w:rFonts w:ascii="細明體" w:eastAsia="細明體" w:hAnsi="細明體" w:cs="細明體" w:hint="eastAsia"/>
                <w:kern w:val="0"/>
                <w:szCs w:val="24"/>
              </w:rPr>
              <w:t>。</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2" w:history="1">
              <w:r w:rsidRPr="0033073D">
                <w:rPr>
                  <w:rFonts w:ascii="新細明體" w:eastAsia="新細明體" w:hAnsi="新細明體" w:cs="新細明體"/>
                  <w:color w:val="0000FF"/>
                  <w:kern w:val="0"/>
                  <w:szCs w:val="24"/>
                  <w:u w:val="single"/>
                </w:rPr>
                <w:t>第 15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申請犯罪被害補償金者，應以書面向犯罪地之審議委員會為之。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有下列各款情形之</w:t>
            </w:r>
            <w:proofErr w:type="gramStart"/>
            <w:r w:rsidRPr="0033073D">
              <w:rPr>
                <w:rFonts w:ascii="細明體" w:eastAsia="細明體" w:hAnsi="細明體" w:cs="細明體" w:hint="eastAsia"/>
                <w:kern w:val="0"/>
                <w:szCs w:val="24"/>
              </w:rPr>
              <w:t>一</w:t>
            </w:r>
            <w:proofErr w:type="gramEnd"/>
            <w:r w:rsidRPr="0033073D">
              <w:rPr>
                <w:rFonts w:ascii="細明體" w:eastAsia="細明體" w:hAnsi="細明體" w:cs="細明體" w:hint="eastAsia"/>
                <w:kern w:val="0"/>
                <w:szCs w:val="24"/>
              </w:rPr>
              <w:t>者，由中央政府所在地之覆審委員會指定應受理之審議委員會：</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一、犯罪地不明者。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二、應受理之委員會有爭議者。</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三、無應受理之委員會者。</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3" w:history="1">
              <w:r w:rsidRPr="0033073D">
                <w:rPr>
                  <w:rFonts w:ascii="新細明體" w:eastAsia="新細明體" w:hAnsi="新細明體" w:cs="新細明體"/>
                  <w:color w:val="0000FF"/>
                  <w:kern w:val="0"/>
                  <w:szCs w:val="24"/>
                  <w:u w:val="single"/>
                </w:rPr>
                <w:t>第 16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前條申請，自知有犯罪被害時起已逾二年或自犯罪被害發生時起已逾五年者，不得為之。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4" w:history="1">
              <w:r w:rsidRPr="0033073D">
                <w:rPr>
                  <w:rFonts w:ascii="新細明體" w:eastAsia="新細明體" w:hAnsi="新細明體" w:cs="新細明體"/>
                  <w:color w:val="0000FF"/>
                  <w:kern w:val="0"/>
                  <w:szCs w:val="24"/>
                  <w:u w:val="single"/>
                </w:rPr>
                <w:t>第 17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審議委員會對於補償申請之決定，應參酌司法機關調查所得資料，自收受申請書之日起三個月內，以書面為之。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5" w:history="1">
              <w:r w:rsidRPr="0033073D">
                <w:rPr>
                  <w:rFonts w:ascii="新細明體" w:eastAsia="新細明體" w:hAnsi="新細明體" w:cs="新細明體"/>
                  <w:color w:val="0000FF"/>
                  <w:kern w:val="0"/>
                  <w:szCs w:val="24"/>
                  <w:u w:val="single"/>
                </w:rPr>
                <w:t>第 18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申請人不服審議委員會之決定者，得於收受決定書後</w:t>
            </w:r>
            <w:proofErr w:type="gramStart"/>
            <w:r w:rsidRPr="0033073D">
              <w:rPr>
                <w:rFonts w:ascii="細明體" w:eastAsia="細明體" w:hAnsi="細明體" w:cs="細明體" w:hint="eastAsia"/>
                <w:kern w:val="0"/>
                <w:szCs w:val="24"/>
              </w:rPr>
              <w:t>三</w:t>
            </w:r>
            <w:proofErr w:type="gramEnd"/>
            <w:r w:rsidRPr="0033073D">
              <w:rPr>
                <w:rFonts w:ascii="細明體" w:eastAsia="細明體" w:hAnsi="細明體" w:cs="細明體" w:hint="eastAsia"/>
                <w:kern w:val="0"/>
                <w:szCs w:val="24"/>
              </w:rPr>
              <w:t>十日內，以書面敘明理</w:t>
            </w:r>
            <w:proofErr w:type="gramStart"/>
            <w:r w:rsidRPr="0033073D">
              <w:rPr>
                <w:rFonts w:ascii="細明體" w:eastAsia="細明體" w:hAnsi="細明體" w:cs="細明體" w:hint="eastAsia"/>
                <w:kern w:val="0"/>
                <w:szCs w:val="24"/>
              </w:rPr>
              <w:t>由向覆審</w:t>
            </w:r>
            <w:proofErr w:type="gramEnd"/>
            <w:r w:rsidRPr="0033073D">
              <w:rPr>
                <w:rFonts w:ascii="細明體" w:eastAsia="細明體" w:hAnsi="細明體" w:cs="細明體" w:hint="eastAsia"/>
                <w:kern w:val="0"/>
                <w:szCs w:val="24"/>
              </w:rPr>
              <w:t>委員會申請覆議。</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審議委員會未於前條所定期間內為決定者，申請人得於期間屆滿後三十日內，以</w:t>
            </w:r>
            <w:proofErr w:type="gramStart"/>
            <w:r w:rsidRPr="0033073D">
              <w:rPr>
                <w:rFonts w:ascii="細明體" w:eastAsia="細明體" w:hAnsi="細明體" w:cs="細明體" w:hint="eastAsia"/>
                <w:kern w:val="0"/>
                <w:szCs w:val="24"/>
              </w:rPr>
              <w:t>書面向覆審</w:t>
            </w:r>
            <w:proofErr w:type="gramEnd"/>
            <w:r w:rsidRPr="0033073D">
              <w:rPr>
                <w:rFonts w:ascii="細明體" w:eastAsia="細明體" w:hAnsi="細明體" w:cs="細明體" w:hint="eastAsia"/>
                <w:kern w:val="0"/>
                <w:szCs w:val="24"/>
              </w:rPr>
              <w:t>委員會申請</w:t>
            </w:r>
            <w:proofErr w:type="gramStart"/>
            <w:r w:rsidRPr="0033073D">
              <w:rPr>
                <w:rFonts w:ascii="細明體" w:eastAsia="細明體" w:hAnsi="細明體" w:cs="細明體" w:hint="eastAsia"/>
                <w:kern w:val="0"/>
                <w:szCs w:val="24"/>
              </w:rPr>
              <w:t>逕</w:t>
            </w:r>
            <w:proofErr w:type="gramEnd"/>
            <w:r w:rsidRPr="0033073D">
              <w:rPr>
                <w:rFonts w:ascii="細明體" w:eastAsia="細明體" w:hAnsi="細明體" w:cs="細明體" w:hint="eastAsia"/>
                <w:kern w:val="0"/>
                <w:szCs w:val="24"/>
              </w:rPr>
              <w:t>為決定。</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前條規定，</w:t>
            </w:r>
            <w:proofErr w:type="gramStart"/>
            <w:r w:rsidRPr="0033073D">
              <w:rPr>
                <w:rFonts w:ascii="細明體" w:eastAsia="細明體" w:hAnsi="細明體" w:cs="細明體" w:hint="eastAsia"/>
                <w:kern w:val="0"/>
                <w:szCs w:val="24"/>
              </w:rPr>
              <w:t>於覆審</w:t>
            </w:r>
            <w:proofErr w:type="gramEnd"/>
            <w:r w:rsidRPr="0033073D">
              <w:rPr>
                <w:rFonts w:ascii="細明體" w:eastAsia="細明體" w:hAnsi="細明體" w:cs="細明體" w:hint="eastAsia"/>
                <w:kern w:val="0"/>
                <w:szCs w:val="24"/>
              </w:rPr>
              <w:t>委員會為覆議決定及</w:t>
            </w:r>
            <w:proofErr w:type="gramStart"/>
            <w:r w:rsidRPr="0033073D">
              <w:rPr>
                <w:rFonts w:ascii="細明體" w:eastAsia="細明體" w:hAnsi="細明體" w:cs="細明體" w:hint="eastAsia"/>
                <w:kern w:val="0"/>
                <w:szCs w:val="24"/>
              </w:rPr>
              <w:t>逕</w:t>
            </w:r>
            <w:proofErr w:type="gramEnd"/>
            <w:r w:rsidRPr="0033073D">
              <w:rPr>
                <w:rFonts w:ascii="細明體" w:eastAsia="細明體" w:hAnsi="細明體" w:cs="細明體" w:hint="eastAsia"/>
                <w:kern w:val="0"/>
                <w:szCs w:val="24"/>
              </w:rPr>
              <w:t>為決定時</w:t>
            </w:r>
            <w:proofErr w:type="gramStart"/>
            <w:r w:rsidRPr="0033073D">
              <w:rPr>
                <w:rFonts w:ascii="細明體" w:eastAsia="細明體" w:hAnsi="細明體" w:cs="細明體" w:hint="eastAsia"/>
                <w:kern w:val="0"/>
                <w:szCs w:val="24"/>
              </w:rPr>
              <w:t>準</w:t>
            </w:r>
            <w:proofErr w:type="gramEnd"/>
            <w:r w:rsidRPr="0033073D">
              <w:rPr>
                <w:rFonts w:ascii="細明體" w:eastAsia="細明體" w:hAnsi="細明體" w:cs="細明體" w:hint="eastAsia"/>
                <w:kern w:val="0"/>
                <w:szCs w:val="24"/>
              </w:rPr>
              <w:t>用之。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6" w:history="1">
              <w:r w:rsidRPr="0033073D">
                <w:rPr>
                  <w:rFonts w:ascii="新細明體" w:eastAsia="新細明體" w:hAnsi="新細明體" w:cs="新細明體"/>
                  <w:color w:val="0000FF"/>
                  <w:kern w:val="0"/>
                  <w:szCs w:val="24"/>
                  <w:u w:val="single"/>
                </w:rPr>
                <w:t>第 19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申請人不服覆審委員會之覆議決定或</w:t>
            </w:r>
            <w:proofErr w:type="gramStart"/>
            <w:r w:rsidRPr="0033073D">
              <w:rPr>
                <w:rFonts w:ascii="細明體" w:eastAsia="細明體" w:hAnsi="細明體" w:cs="細明體" w:hint="eastAsia"/>
                <w:kern w:val="0"/>
                <w:szCs w:val="24"/>
              </w:rPr>
              <w:t>逕</w:t>
            </w:r>
            <w:proofErr w:type="gramEnd"/>
            <w:r w:rsidRPr="0033073D">
              <w:rPr>
                <w:rFonts w:ascii="細明體" w:eastAsia="細明體" w:hAnsi="細明體" w:cs="細明體" w:hint="eastAsia"/>
                <w:kern w:val="0"/>
                <w:szCs w:val="24"/>
              </w:rPr>
              <w:t>為決定，或覆審委員會未於第十七條所定期間內為決定者，得於收受決定書或期間屆滿後三十日內，逕行提起行政訴訟。</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7" w:history="1">
              <w:r w:rsidRPr="0033073D">
                <w:rPr>
                  <w:rFonts w:ascii="新細明體" w:eastAsia="新細明體" w:hAnsi="新細明體" w:cs="新細明體"/>
                  <w:color w:val="0000FF"/>
                  <w:kern w:val="0"/>
                  <w:szCs w:val="24"/>
                  <w:u w:val="single"/>
                </w:rPr>
                <w:t>第 20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覆審委員會及審議委員會因調查之必要，得通知申請人及關係人到場陳述意見、提出文書或其他必要之資料或接受醫師診斷，並得請有關機關或團體為必要之協助。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申請人無正當理由，拒絕到場陳述意見、提出文書或其他必要之資料或接受醫師之診斷者，覆審委員會及審議</w:t>
            </w:r>
            <w:r w:rsidRPr="0033073D">
              <w:rPr>
                <w:rFonts w:ascii="細明體" w:eastAsia="細明體" w:hAnsi="細明體" w:cs="細明體" w:hint="eastAsia"/>
                <w:kern w:val="0"/>
                <w:szCs w:val="24"/>
              </w:rPr>
              <w:lastRenderedPageBreak/>
              <w:t>委員會得逕行駁回其申請或</w:t>
            </w:r>
            <w:proofErr w:type="gramStart"/>
            <w:r w:rsidRPr="0033073D">
              <w:rPr>
                <w:rFonts w:ascii="細明體" w:eastAsia="細明體" w:hAnsi="細明體" w:cs="細明體" w:hint="eastAsia"/>
                <w:kern w:val="0"/>
                <w:szCs w:val="24"/>
              </w:rPr>
              <w:t>逕</w:t>
            </w:r>
            <w:proofErr w:type="gramEnd"/>
            <w:r w:rsidRPr="0033073D">
              <w:rPr>
                <w:rFonts w:ascii="細明體" w:eastAsia="細明體" w:hAnsi="細明體" w:cs="細明體" w:hint="eastAsia"/>
                <w:kern w:val="0"/>
                <w:szCs w:val="24"/>
              </w:rPr>
              <w:t>為決定</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8" w:history="1">
              <w:r w:rsidRPr="0033073D">
                <w:rPr>
                  <w:rFonts w:ascii="新細明體" w:eastAsia="新細明體" w:hAnsi="新細明體" w:cs="新細明體"/>
                  <w:color w:val="0000FF"/>
                  <w:kern w:val="0"/>
                  <w:szCs w:val="24"/>
                  <w:u w:val="single"/>
                </w:rPr>
                <w:t>第 21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覆審委員會或審議委員會對於補償之申請為決定前，於申請人因犯罪行為被害致有急迫需要者，得先為支付暫時補償金之決定。</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關於暫時補償金之決定，不得申請覆議或提起行政訴訟。</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29" w:history="1">
              <w:r w:rsidRPr="0033073D">
                <w:rPr>
                  <w:rFonts w:ascii="新細明體" w:eastAsia="新細明體" w:hAnsi="新細明體" w:cs="新細明體"/>
                  <w:color w:val="0000FF"/>
                  <w:kern w:val="0"/>
                  <w:szCs w:val="24"/>
                  <w:u w:val="single"/>
                </w:rPr>
                <w:t>第 22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暫時補償金不得超過新台幣四十萬元。</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經決定支付犯罪被害補償金者，應扣除已領取之暫時補償金後支付之。暫時補償金多於補償總額或補償申請經駁回者，審議</w:t>
            </w:r>
            <w:proofErr w:type="gramStart"/>
            <w:r w:rsidRPr="0033073D">
              <w:rPr>
                <w:rFonts w:ascii="細明體" w:eastAsia="細明體" w:hAnsi="細明體" w:cs="細明體" w:hint="eastAsia"/>
                <w:kern w:val="0"/>
                <w:szCs w:val="24"/>
              </w:rPr>
              <w:t>委員會應命其</w:t>
            </w:r>
            <w:proofErr w:type="gramEnd"/>
            <w:r w:rsidRPr="0033073D">
              <w:rPr>
                <w:rFonts w:ascii="細明體" w:eastAsia="細明體" w:hAnsi="細明體" w:cs="細明體" w:hint="eastAsia"/>
                <w:kern w:val="0"/>
                <w:szCs w:val="24"/>
              </w:rPr>
              <w:t>返還差額或全數返還。</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0" w:history="1">
              <w:r w:rsidRPr="0033073D">
                <w:rPr>
                  <w:rFonts w:ascii="新細明體" w:eastAsia="新細明體" w:hAnsi="新細明體" w:cs="新細明體"/>
                  <w:color w:val="0000FF"/>
                  <w:kern w:val="0"/>
                  <w:szCs w:val="24"/>
                  <w:u w:val="single"/>
                </w:rPr>
                <w:t>第 23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第九條第一項各款所定最高金額及前條第一項所定數額，法務部得因情勢變更需要，報請行政院核定調整之。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1" w:history="1">
              <w:r w:rsidRPr="0033073D">
                <w:rPr>
                  <w:rFonts w:ascii="新細明體" w:eastAsia="新細明體" w:hAnsi="新細明體" w:cs="新細明體"/>
                  <w:color w:val="0000FF"/>
                  <w:kern w:val="0"/>
                  <w:szCs w:val="24"/>
                  <w:u w:val="single"/>
                </w:rPr>
                <w:t>第 24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犯罪被害補償金及暫時補償金之領取，自通知受領之</w:t>
            </w:r>
            <w:proofErr w:type="gramStart"/>
            <w:r w:rsidRPr="0033073D">
              <w:rPr>
                <w:rFonts w:ascii="細明體" w:eastAsia="細明體" w:hAnsi="細明體" w:cs="細明體" w:hint="eastAsia"/>
                <w:kern w:val="0"/>
                <w:szCs w:val="24"/>
              </w:rPr>
              <w:t>日起逾二年</w:t>
            </w:r>
            <w:proofErr w:type="gramEnd"/>
            <w:r w:rsidRPr="0033073D">
              <w:rPr>
                <w:rFonts w:ascii="細明體" w:eastAsia="細明體" w:hAnsi="細明體" w:cs="細明體" w:hint="eastAsia"/>
                <w:kern w:val="0"/>
                <w:szCs w:val="24"/>
              </w:rPr>
              <w:t>，不得為之。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2" w:history="1">
              <w:r w:rsidRPr="0033073D">
                <w:rPr>
                  <w:rFonts w:ascii="新細明體" w:eastAsia="新細明體" w:hAnsi="新細明體" w:cs="新細明體"/>
                  <w:color w:val="0000FF"/>
                  <w:kern w:val="0"/>
                  <w:szCs w:val="24"/>
                  <w:u w:val="single"/>
                </w:rPr>
                <w:t>第 25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審議委員會依第十三條或第二十二條第二項規定，以決定書決定應返還之補償金，該項決定經確定者，得為執行名義。審議委員會應於決定書或另以書面命義務人限期返還，屆期未返還者，依法移送強制執行。</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前項應返還之補償金，優先於普通債權而受償。</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不服第一項應返還之決定者，</w:t>
            </w:r>
            <w:proofErr w:type="gramStart"/>
            <w:r w:rsidRPr="0033073D">
              <w:rPr>
                <w:rFonts w:ascii="細明體" w:eastAsia="細明體" w:hAnsi="細明體" w:cs="細明體" w:hint="eastAsia"/>
                <w:kern w:val="0"/>
                <w:szCs w:val="24"/>
              </w:rPr>
              <w:t>準</w:t>
            </w:r>
            <w:proofErr w:type="gramEnd"/>
            <w:r w:rsidRPr="0033073D">
              <w:rPr>
                <w:rFonts w:ascii="細明體" w:eastAsia="細明體" w:hAnsi="細明體" w:cs="細明體" w:hint="eastAsia"/>
                <w:kern w:val="0"/>
                <w:szCs w:val="24"/>
              </w:rPr>
              <w:t>用第十七條、第十八條第一項及第十九條之規定。</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3" w:history="1">
              <w:r w:rsidRPr="0033073D">
                <w:rPr>
                  <w:rFonts w:ascii="新細明體" w:eastAsia="新細明體" w:hAnsi="新細明體" w:cs="新細明體"/>
                  <w:color w:val="0000FF"/>
                  <w:kern w:val="0"/>
                  <w:szCs w:val="24"/>
                  <w:u w:val="single"/>
                </w:rPr>
                <w:t>第 26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受領犯罪被害補償金及暫時補償金之權利，不得扣押、讓與或供擔保。</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4" w:history="1">
              <w:r w:rsidRPr="0033073D">
                <w:rPr>
                  <w:rFonts w:ascii="新細明體" w:eastAsia="新細明體" w:hAnsi="新細明體" w:cs="新細明體"/>
                  <w:color w:val="0000FF"/>
                  <w:kern w:val="0"/>
                  <w:szCs w:val="24"/>
                  <w:u w:val="single"/>
                </w:rPr>
                <w:t>第 27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地方法院或其分院檢察署為保全</w:t>
            </w:r>
            <w:proofErr w:type="gramStart"/>
            <w:r w:rsidRPr="0033073D">
              <w:rPr>
                <w:rFonts w:ascii="細明體" w:eastAsia="細明體" w:hAnsi="細明體" w:cs="細明體" w:hint="eastAsia"/>
                <w:kern w:val="0"/>
                <w:szCs w:val="24"/>
              </w:rPr>
              <w:t>第十二條求償</w:t>
            </w:r>
            <w:proofErr w:type="gramEnd"/>
            <w:r w:rsidRPr="0033073D">
              <w:rPr>
                <w:rFonts w:ascii="細明體" w:eastAsia="細明體" w:hAnsi="細明體" w:cs="細明體" w:hint="eastAsia"/>
                <w:kern w:val="0"/>
                <w:szCs w:val="24"/>
              </w:rPr>
              <w:t>權之行使，得對犯罪行為人或其他依法應負賠償責任之人之財產，向法院聲請假扣押。</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民事訴訟法第七編保全程序之規定，於地方法院或其分院檢察署為前項行</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為時適用之。但民事訴訟法第五百二十三條、第五百二十六條第二項至第四項及第五百三十一條不在此限。</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5" w:history="1">
              <w:r w:rsidRPr="0033073D">
                <w:rPr>
                  <w:rFonts w:ascii="新細明體" w:eastAsia="新細明體" w:hAnsi="新細明體" w:cs="新細明體"/>
                  <w:color w:val="0000FF"/>
                  <w:kern w:val="0"/>
                  <w:szCs w:val="24"/>
                  <w:u w:val="single"/>
                </w:rPr>
                <w:t>第 28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被害人或本法第六條之人非依刑事附帶民事訴訟程序向加害人起訴請求本法第九條第一項各款之損害賠償時，暫免繳納訴訟費用。</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前項當事人無資力支出假扣押擔保金者，得由犯罪被害人保護機構出具之保證書代之。但顯無勝訴之望者，不在此限。</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6" w:history="1">
              <w:r w:rsidRPr="0033073D">
                <w:rPr>
                  <w:rFonts w:ascii="新細明體" w:eastAsia="新細明體" w:hAnsi="新細明體" w:cs="新細明體"/>
                  <w:color w:val="0000FF"/>
                  <w:kern w:val="0"/>
                  <w:szCs w:val="24"/>
                  <w:u w:val="single"/>
                </w:rPr>
                <w:t>第 29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為協助重建被害人或其遺屬生活，法務部應會同內政部</w:t>
            </w:r>
            <w:r w:rsidRPr="0033073D">
              <w:rPr>
                <w:rFonts w:ascii="細明體" w:eastAsia="細明體" w:hAnsi="細明體" w:cs="細明體" w:hint="eastAsia"/>
                <w:kern w:val="0"/>
                <w:szCs w:val="24"/>
              </w:rPr>
              <w:lastRenderedPageBreak/>
              <w:t>成立犯罪被害人保護機構。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犯罪被害人保護機構為財團法人，受法務部之指揮監督；登記前應經法務部許可；其組織及監督辦法，由法務部定之。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犯罪被害人保護機構經費之來源如下：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一、法務部、內政部編列預算。</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二、私人或團體捐贈。</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三、犯罪行為人因緩起訴處分或協商判決應支付犯罪被害人保護機構之金額總額</w:t>
            </w:r>
            <w:proofErr w:type="gramStart"/>
            <w:r w:rsidRPr="0033073D">
              <w:rPr>
                <w:rFonts w:ascii="細明體" w:eastAsia="細明體" w:hAnsi="細明體" w:cs="細明體" w:hint="eastAsia"/>
                <w:kern w:val="0"/>
                <w:szCs w:val="24"/>
              </w:rPr>
              <w:t>提撥</w:t>
            </w:r>
            <w:proofErr w:type="gramEnd"/>
            <w:r w:rsidRPr="0033073D">
              <w:rPr>
                <w:rFonts w:ascii="細明體" w:eastAsia="細明體" w:hAnsi="細明體" w:cs="細明體" w:hint="eastAsia"/>
                <w:kern w:val="0"/>
                <w:szCs w:val="24"/>
              </w:rPr>
              <w:t>部分金額。</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7" w:history="1">
              <w:r w:rsidRPr="0033073D">
                <w:rPr>
                  <w:rFonts w:ascii="新細明體" w:eastAsia="新細明體" w:hAnsi="新細明體" w:cs="新細明體"/>
                  <w:color w:val="0000FF"/>
                  <w:kern w:val="0"/>
                  <w:szCs w:val="24"/>
                  <w:u w:val="single"/>
                </w:rPr>
                <w:t>第 30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犯罪被害人保護機構應辦理下列業務：</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一、緊急之生理、心理醫療及安置之協助。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二、偵查、審判中及審判後之協助。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三、申請補償、社會救助及民事</w:t>
            </w:r>
            <w:proofErr w:type="gramStart"/>
            <w:r w:rsidRPr="0033073D">
              <w:rPr>
                <w:rFonts w:ascii="細明體" w:eastAsia="細明體" w:hAnsi="細明體" w:cs="細明體" w:hint="eastAsia"/>
                <w:kern w:val="0"/>
                <w:szCs w:val="24"/>
              </w:rPr>
              <w:t>求償等之</w:t>
            </w:r>
            <w:proofErr w:type="gramEnd"/>
            <w:r w:rsidRPr="0033073D">
              <w:rPr>
                <w:rFonts w:ascii="細明體" w:eastAsia="細明體" w:hAnsi="細明體" w:cs="細明體" w:hint="eastAsia"/>
                <w:kern w:val="0"/>
                <w:szCs w:val="24"/>
              </w:rPr>
              <w:t>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四、調查犯罪行為人或依法應負賠償責任人財產之協助。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五、安全保護之協助。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六、生理、心理治療及生活重建之協助。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七、被害人保護之宣導。</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八、其他之協助。</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前項規定之保護措施除第三款申請補償外，於下列之對象</w:t>
            </w:r>
            <w:proofErr w:type="gramStart"/>
            <w:r w:rsidRPr="0033073D">
              <w:rPr>
                <w:rFonts w:ascii="細明體" w:eastAsia="細明體" w:hAnsi="細明體" w:cs="細明體" w:hint="eastAsia"/>
                <w:kern w:val="0"/>
                <w:szCs w:val="24"/>
              </w:rPr>
              <w:t>準</w:t>
            </w:r>
            <w:proofErr w:type="gramEnd"/>
            <w:r w:rsidRPr="0033073D">
              <w:rPr>
                <w:rFonts w:ascii="細明體" w:eastAsia="細明體" w:hAnsi="細明體" w:cs="細明體" w:hint="eastAsia"/>
                <w:kern w:val="0"/>
                <w:szCs w:val="24"/>
              </w:rPr>
              <w:t>用之：</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一、家庭暴力或人口販運犯罪行為未死亡或受重傷之被害人。</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33073D">
              <w:rPr>
                <w:rFonts w:ascii="細明體" w:eastAsia="細明體" w:hAnsi="細明體" w:cs="細明體" w:hint="eastAsia"/>
                <w:kern w:val="0"/>
                <w:szCs w:val="24"/>
              </w:rPr>
              <w:t>二、兒童或少年為第一條以外之犯罪行為之被害人。</w:t>
            </w:r>
          </w:p>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其他法律對前項保護對象，有相同或較優保護措施規定者，應優先適用。</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8" w:history="1">
              <w:r w:rsidRPr="0033073D">
                <w:rPr>
                  <w:rFonts w:ascii="新細明體" w:eastAsia="新細明體" w:hAnsi="新細明體" w:cs="新細明體"/>
                  <w:color w:val="0000FF"/>
                  <w:kern w:val="0"/>
                  <w:szCs w:val="24"/>
                  <w:u w:val="single"/>
                </w:rPr>
                <w:t>第 31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送達文書，</w:t>
            </w:r>
            <w:proofErr w:type="gramStart"/>
            <w:r w:rsidRPr="0033073D">
              <w:rPr>
                <w:rFonts w:ascii="細明體" w:eastAsia="細明體" w:hAnsi="細明體" w:cs="細明體" w:hint="eastAsia"/>
                <w:kern w:val="0"/>
                <w:szCs w:val="24"/>
              </w:rPr>
              <w:t>準</w:t>
            </w:r>
            <w:proofErr w:type="gramEnd"/>
            <w:r w:rsidRPr="0033073D">
              <w:rPr>
                <w:rFonts w:ascii="細明體" w:eastAsia="細明體" w:hAnsi="細明體" w:cs="細明體" w:hint="eastAsia"/>
                <w:kern w:val="0"/>
                <w:szCs w:val="24"/>
              </w:rPr>
              <w:t>用民事訴訟法之規定。</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39" w:history="1">
              <w:r w:rsidRPr="0033073D">
                <w:rPr>
                  <w:rFonts w:ascii="新細明體" w:eastAsia="新細明體" w:hAnsi="新細明體" w:cs="新細明體"/>
                  <w:color w:val="0000FF"/>
                  <w:kern w:val="0"/>
                  <w:szCs w:val="24"/>
                  <w:u w:val="single"/>
                </w:rPr>
                <w:t>第 32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本法於大陸地區人民在大陸地區因犯罪行為被害時，不適用之。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40" w:history="1">
              <w:r w:rsidRPr="0033073D">
                <w:rPr>
                  <w:rFonts w:ascii="新細明體" w:eastAsia="新細明體" w:hAnsi="新細明體" w:cs="新細明體"/>
                  <w:color w:val="0000FF"/>
                  <w:kern w:val="0"/>
                  <w:szCs w:val="24"/>
                  <w:u w:val="single"/>
                </w:rPr>
                <w:t>第 33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（刪除）</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41" w:history="1">
              <w:r w:rsidRPr="0033073D">
                <w:rPr>
                  <w:rFonts w:ascii="新細明體" w:eastAsia="新細明體" w:hAnsi="新細明體" w:cs="新細明體"/>
                  <w:color w:val="0000FF"/>
                  <w:kern w:val="0"/>
                  <w:szCs w:val="24"/>
                  <w:u w:val="single"/>
                </w:rPr>
                <w:t>第 34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依本法規定申請補償者，以犯罪行為或犯罪結果發生在本法施行後者為限。</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42" w:history="1">
              <w:r w:rsidRPr="0033073D">
                <w:rPr>
                  <w:rFonts w:ascii="新細明體" w:eastAsia="新細明體" w:hAnsi="新細明體" w:cs="新細明體"/>
                  <w:color w:val="0000FF"/>
                  <w:kern w:val="0"/>
                  <w:szCs w:val="24"/>
                  <w:u w:val="single"/>
                </w:rPr>
                <w:t>第 35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本法施行細則，由法務部定之。</w:t>
            </w:r>
          </w:p>
        </w:tc>
      </w:tr>
      <w:tr w:rsidR="0033073D" w:rsidRPr="0033073D" w:rsidTr="0033073D">
        <w:trPr>
          <w:jc w:val="center"/>
        </w:trPr>
        <w:tc>
          <w:tcPr>
            <w:tcW w:w="600" w:type="pct"/>
            <w:noWrap/>
            <w:hideMark/>
          </w:tcPr>
          <w:p w:rsidR="0033073D" w:rsidRPr="0033073D" w:rsidRDefault="0033073D" w:rsidP="0033073D">
            <w:pPr>
              <w:widowControl/>
              <w:jc w:val="both"/>
              <w:rPr>
                <w:rFonts w:ascii="新細明體" w:eastAsia="新細明體" w:hAnsi="新細明體" w:cs="新細明體"/>
                <w:kern w:val="0"/>
                <w:szCs w:val="24"/>
              </w:rPr>
            </w:pPr>
            <w:hyperlink r:id="rId43" w:history="1">
              <w:r w:rsidRPr="0033073D">
                <w:rPr>
                  <w:rFonts w:ascii="新細明體" w:eastAsia="新細明體" w:hAnsi="新細明體" w:cs="新細明體"/>
                  <w:color w:val="0000FF"/>
                  <w:kern w:val="0"/>
                  <w:szCs w:val="24"/>
                  <w:u w:val="single"/>
                </w:rPr>
                <w:t>第 36 條</w:t>
              </w:r>
            </w:hyperlink>
          </w:p>
        </w:tc>
        <w:tc>
          <w:tcPr>
            <w:tcW w:w="200" w:type="pct"/>
            <w:vAlign w:val="center"/>
            <w:hideMark/>
          </w:tcPr>
          <w:p w:rsidR="0033073D" w:rsidRPr="0033073D" w:rsidRDefault="0033073D" w:rsidP="0033073D">
            <w:pPr>
              <w:widowControl/>
              <w:jc w:val="center"/>
              <w:rPr>
                <w:rFonts w:ascii="新細明體" w:eastAsia="新細明體" w:hAnsi="新細明體" w:cs="新細明體"/>
                <w:kern w:val="0"/>
                <w:szCs w:val="24"/>
              </w:rPr>
            </w:pPr>
          </w:p>
        </w:tc>
        <w:tc>
          <w:tcPr>
            <w:tcW w:w="4200" w:type="pct"/>
            <w:vAlign w:val="center"/>
            <w:hideMark/>
          </w:tcPr>
          <w:p w:rsidR="0033073D" w:rsidRPr="0033073D" w:rsidRDefault="0033073D" w:rsidP="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33073D">
              <w:rPr>
                <w:rFonts w:ascii="細明體" w:eastAsia="細明體" w:hAnsi="細明體" w:cs="細明體" w:hint="eastAsia"/>
                <w:kern w:val="0"/>
                <w:szCs w:val="24"/>
              </w:rPr>
              <w:t>本法施行日期，由行政院定之。</w:t>
            </w:r>
          </w:p>
        </w:tc>
      </w:tr>
    </w:tbl>
    <w:p w:rsidR="006A029C" w:rsidRPr="0033073D" w:rsidRDefault="006A029C"/>
    <w:sectPr w:rsidR="006A029C" w:rsidRPr="0033073D" w:rsidSect="006A029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C46" w:rsidRDefault="00CE0C46" w:rsidP="0033073D">
      <w:r>
        <w:separator/>
      </w:r>
    </w:p>
  </w:endnote>
  <w:endnote w:type="continuationSeparator" w:id="0">
    <w:p w:rsidR="00CE0C46" w:rsidRDefault="00CE0C46" w:rsidP="00330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C46" w:rsidRDefault="00CE0C46" w:rsidP="0033073D">
      <w:r>
        <w:separator/>
      </w:r>
    </w:p>
  </w:footnote>
  <w:footnote w:type="continuationSeparator" w:id="0">
    <w:p w:rsidR="00CE0C46" w:rsidRDefault="00CE0C46" w:rsidP="00330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17A5"/>
    <w:multiLevelType w:val="hybridMultilevel"/>
    <w:tmpl w:val="02167E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73D"/>
    <w:rsid w:val="002020FF"/>
    <w:rsid w:val="002568FB"/>
    <w:rsid w:val="002A0D0F"/>
    <w:rsid w:val="003152F8"/>
    <w:rsid w:val="0033073D"/>
    <w:rsid w:val="00475DED"/>
    <w:rsid w:val="00485AE3"/>
    <w:rsid w:val="00692B68"/>
    <w:rsid w:val="006A029C"/>
    <w:rsid w:val="006B7ED2"/>
    <w:rsid w:val="0098390C"/>
    <w:rsid w:val="00990C28"/>
    <w:rsid w:val="00A15AD9"/>
    <w:rsid w:val="00CA138A"/>
    <w:rsid w:val="00CB2CF1"/>
    <w:rsid w:val="00CE0C46"/>
    <w:rsid w:val="00DD7ED7"/>
    <w:rsid w:val="00E154E4"/>
    <w:rsid w:val="00E614B2"/>
    <w:rsid w:val="00EF46EB"/>
    <w:rsid w:val="00F84846"/>
    <w:rsid w:val="00FC3A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73D"/>
    <w:pPr>
      <w:tabs>
        <w:tab w:val="center" w:pos="4153"/>
        <w:tab w:val="right" w:pos="8306"/>
      </w:tabs>
      <w:snapToGrid w:val="0"/>
    </w:pPr>
    <w:rPr>
      <w:sz w:val="20"/>
      <w:szCs w:val="20"/>
    </w:rPr>
  </w:style>
  <w:style w:type="character" w:customStyle="1" w:styleId="a4">
    <w:name w:val="頁首 字元"/>
    <w:basedOn w:val="a0"/>
    <w:link w:val="a3"/>
    <w:uiPriority w:val="99"/>
    <w:semiHidden/>
    <w:rsid w:val="0033073D"/>
    <w:rPr>
      <w:sz w:val="20"/>
      <w:szCs w:val="20"/>
    </w:rPr>
  </w:style>
  <w:style w:type="paragraph" w:styleId="a5">
    <w:name w:val="footer"/>
    <w:basedOn w:val="a"/>
    <w:link w:val="a6"/>
    <w:uiPriority w:val="99"/>
    <w:semiHidden/>
    <w:unhideWhenUsed/>
    <w:rsid w:val="0033073D"/>
    <w:pPr>
      <w:tabs>
        <w:tab w:val="center" w:pos="4153"/>
        <w:tab w:val="right" w:pos="8306"/>
      </w:tabs>
      <w:snapToGrid w:val="0"/>
    </w:pPr>
    <w:rPr>
      <w:sz w:val="20"/>
      <w:szCs w:val="20"/>
    </w:rPr>
  </w:style>
  <w:style w:type="character" w:customStyle="1" w:styleId="a6">
    <w:name w:val="頁尾 字元"/>
    <w:basedOn w:val="a0"/>
    <w:link w:val="a5"/>
    <w:uiPriority w:val="99"/>
    <w:semiHidden/>
    <w:rsid w:val="0033073D"/>
    <w:rPr>
      <w:sz w:val="20"/>
      <w:szCs w:val="20"/>
    </w:rPr>
  </w:style>
  <w:style w:type="character" w:styleId="a7">
    <w:name w:val="Hyperlink"/>
    <w:basedOn w:val="a0"/>
    <w:uiPriority w:val="99"/>
    <w:semiHidden/>
    <w:unhideWhenUsed/>
    <w:rsid w:val="0033073D"/>
    <w:rPr>
      <w:color w:val="0000FF"/>
      <w:u w:val="single"/>
    </w:rPr>
  </w:style>
  <w:style w:type="paragraph" w:styleId="HTML">
    <w:name w:val="HTML Preformatted"/>
    <w:basedOn w:val="a"/>
    <w:link w:val="HTML0"/>
    <w:uiPriority w:val="99"/>
    <w:unhideWhenUsed/>
    <w:rsid w:val="00330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3073D"/>
    <w:rPr>
      <w:rFonts w:ascii="細明體" w:eastAsia="細明體" w:hAnsi="細明體" w:cs="細明體"/>
      <w:kern w:val="0"/>
      <w:szCs w:val="24"/>
    </w:rPr>
  </w:style>
  <w:style w:type="paragraph" w:styleId="a8">
    <w:name w:val="List Paragraph"/>
    <w:basedOn w:val="a"/>
    <w:uiPriority w:val="34"/>
    <w:qFormat/>
    <w:rsid w:val="0033073D"/>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I0050005&amp;FLNO=3" TargetMode="External"/><Relationship Id="rId13" Type="http://schemas.openxmlformats.org/officeDocument/2006/relationships/hyperlink" Target="http://law.moj.gov.tw/LawClass/LawSingle.aspx?Pcode=I0050005&amp;FLNO=7" TargetMode="External"/><Relationship Id="rId18" Type="http://schemas.openxmlformats.org/officeDocument/2006/relationships/hyperlink" Target="http://law.moj.gov.tw/LawClass/LawSingle.aspx?Pcode=I0050005&amp;FLNO=12" TargetMode="External"/><Relationship Id="rId26" Type="http://schemas.openxmlformats.org/officeDocument/2006/relationships/hyperlink" Target="http://law.moj.gov.tw/LawClass/LawSingle.aspx?Pcode=I0050005&amp;FLNO=19" TargetMode="External"/><Relationship Id="rId39" Type="http://schemas.openxmlformats.org/officeDocument/2006/relationships/hyperlink" Target="http://law.moj.gov.tw/LawClass/LawSingle.aspx?Pcode=I0050005&amp;FLNO=32" TargetMode="External"/><Relationship Id="rId3" Type="http://schemas.openxmlformats.org/officeDocument/2006/relationships/settings" Target="settings.xml"/><Relationship Id="rId21" Type="http://schemas.openxmlformats.org/officeDocument/2006/relationships/hyperlink" Target="http://law.moj.gov.tw/LawClass/LawSingle.aspx?Pcode=I0050005&amp;FLNO=14" TargetMode="External"/><Relationship Id="rId34" Type="http://schemas.openxmlformats.org/officeDocument/2006/relationships/hyperlink" Target="http://law.moj.gov.tw/LawClass/LawSingle.aspx?Pcode=I0050005&amp;FLNO=27" TargetMode="External"/><Relationship Id="rId42" Type="http://schemas.openxmlformats.org/officeDocument/2006/relationships/hyperlink" Target="http://law.moj.gov.tw/LawClass/LawSingle.aspx?Pcode=I0050005&amp;FLNO=35" TargetMode="External"/><Relationship Id="rId7" Type="http://schemas.openxmlformats.org/officeDocument/2006/relationships/hyperlink" Target="http://law.moj.gov.tw/LawClass/LawSingle.aspx?Pcode=I0050005&amp;FLNO=2" TargetMode="External"/><Relationship Id="rId12" Type="http://schemas.openxmlformats.org/officeDocument/2006/relationships/hyperlink" Target="http://law.moj.gov.tw/LawClass/LawSingle.aspx?Pcode=I0050005&amp;FLNO=6" TargetMode="External"/><Relationship Id="rId17" Type="http://schemas.openxmlformats.org/officeDocument/2006/relationships/hyperlink" Target="http://law.moj.gov.tw/LawClass/LawSingle.aspx?Pcode=I0050005&amp;FLNO=11" TargetMode="External"/><Relationship Id="rId25" Type="http://schemas.openxmlformats.org/officeDocument/2006/relationships/hyperlink" Target="http://law.moj.gov.tw/LawClass/LawSingle.aspx?Pcode=I0050005&amp;FLNO=18" TargetMode="External"/><Relationship Id="rId33" Type="http://schemas.openxmlformats.org/officeDocument/2006/relationships/hyperlink" Target="http://law.moj.gov.tw/LawClass/LawSingle.aspx?Pcode=I0050005&amp;FLNO=26" TargetMode="External"/><Relationship Id="rId38" Type="http://schemas.openxmlformats.org/officeDocument/2006/relationships/hyperlink" Target="http://law.moj.gov.tw/LawClass/LawSingle.aspx?Pcode=I0050005&amp;FLNO=31" TargetMode="External"/><Relationship Id="rId2" Type="http://schemas.openxmlformats.org/officeDocument/2006/relationships/styles" Target="styles.xml"/><Relationship Id="rId16" Type="http://schemas.openxmlformats.org/officeDocument/2006/relationships/hyperlink" Target="http://law.moj.gov.tw/LawClass/LawSingle.aspx?Pcode=I0050005&amp;FLNO=10" TargetMode="External"/><Relationship Id="rId20" Type="http://schemas.openxmlformats.org/officeDocument/2006/relationships/hyperlink" Target="http://law.moj.gov.tw/LawClass/LawSingle.aspx?Pcode=I0050005&amp;FLNO=13" TargetMode="External"/><Relationship Id="rId29" Type="http://schemas.openxmlformats.org/officeDocument/2006/relationships/hyperlink" Target="http://law.moj.gov.tw/LawClass/LawSingle.aspx?Pcode=I0050005&amp;FLNO=22" TargetMode="External"/><Relationship Id="rId41" Type="http://schemas.openxmlformats.org/officeDocument/2006/relationships/hyperlink" Target="http://law.moj.gov.tw/LawClass/LawSingle.aspx?Pcode=I0050005&amp;FLNO=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LawClass/LawSingle.aspx?Pcode=I0050005&amp;FLNO=5" TargetMode="External"/><Relationship Id="rId24" Type="http://schemas.openxmlformats.org/officeDocument/2006/relationships/hyperlink" Target="http://law.moj.gov.tw/LawClass/LawSingle.aspx?Pcode=I0050005&amp;FLNO=17" TargetMode="External"/><Relationship Id="rId32" Type="http://schemas.openxmlformats.org/officeDocument/2006/relationships/hyperlink" Target="http://law.moj.gov.tw/LawClass/LawSingle.aspx?Pcode=I0050005&amp;FLNO=25" TargetMode="External"/><Relationship Id="rId37" Type="http://schemas.openxmlformats.org/officeDocument/2006/relationships/hyperlink" Target="http://law.moj.gov.tw/LawClass/LawSingle.aspx?Pcode=I0050005&amp;FLNO=30" TargetMode="External"/><Relationship Id="rId40" Type="http://schemas.openxmlformats.org/officeDocument/2006/relationships/hyperlink" Target="http://law.moj.gov.tw/LawClass/LawSingle.aspx?Pcode=I0050005&amp;FLNO=3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aw.moj.gov.tw/LawClass/LawSingle.aspx?Pcode=I0050005&amp;FLNO=9" TargetMode="External"/><Relationship Id="rId23" Type="http://schemas.openxmlformats.org/officeDocument/2006/relationships/hyperlink" Target="http://law.moj.gov.tw/LawClass/LawSingle.aspx?Pcode=I0050005&amp;FLNO=16" TargetMode="External"/><Relationship Id="rId28" Type="http://schemas.openxmlformats.org/officeDocument/2006/relationships/hyperlink" Target="http://law.moj.gov.tw/LawClass/LawSingle.aspx?Pcode=I0050005&amp;FLNO=21" TargetMode="External"/><Relationship Id="rId36" Type="http://schemas.openxmlformats.org/officeDocument/2006/relationships/hyperlink" Target="http://law.moj.gov.tw/LawClass/LawSingle.aspx?Pcode=I0050005&amp;FLNO=29" TargetMode="External"/><Relationship Id="rId10" Type="http://schemas.openxmlformats.org/officeDocument/2006/relationships/hyperlink" Target="http://law.moj.gov.tw/LawClass/LawSingle.aspx?Pcode=I0050005&amp;FLNO=4-1" TargetMode="External"/><Relationship Id="rId19" Type="http://schemas.openxmlformats.org/officeDocument/2006/relationships/hyperlink" Target="http://law.moj.gov.tw/LawClass/LawSingle.aspx?Pcode=I0050005&amp;FLNO=12-1" TargetMode="External"/><Relationship Id="rId31" Type="http://schemas.openxmlformats.org/officeDocument/2006/relationships/hyperlink" Target="http://law.moj.gov.tw/LawClass/LawSingle.aspx?Pcode=I0050005&amp;FLNO=2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moj.gov.tw/LawClass/LawSingle.aspx?Pcode=I0050005&amp;FLNO=4" TargetMode="External"/><Relationship Id="rId14" Type="http://schemas.openxmlformats.org/officeDocument/2006/relationships/hyperlink" Target="http://law.moj.gov.tw/LawClass/LawSingle.aspx?Pcode=I0050005&amp;FLNO=8" TargetMode="External"/><Relationship Id="rId22" Type="http://schemas.openxmlformats.org/officeDocument/2006/relationships/hyperlink" Target="http://law.moj.gov.tw/LawClass/LawSingle.aspx?Pcode=I0050005&amp;FLNO=15" TargetMode="External"/><Relationship Id="rId27" Type="http://schemas.openxmlformats.org/officeDocument/2006/relationships/hyperlink" Target="http://law.moj.gov.tw/LawClass/LawSingle.aspx?Pcode=I0050005&amp;FLNO=20" TargetMode="External"/><Relationship Id="rId30" Type="http://schemas.openxmlformats.org/officeDocument/2006/relationships/hyperlink" Target="http://law.moj.gov.tw/LawClass/LawSingle.aspx?Pcode=I0050005&amp;FLNO=23" TargetMode="External"/><Relationship Id="rId35" Type="http://schemas.openxmlformats.org/officeDocument/2006/relationships/hyperlink" Target="http://law.moj.gov.tw/LawClass/LawSingle.aspx?Pcode=I0050005&amp;FLNO=28" TargetMode="External"/><Relationship Id="rId43" Type="http://schemas.openxmlformats.org/officeDocument/2006/relationships/hyperlink" Target="http://law.moj.gov.tw/LawClass/LawSingle.aspx?Pcode=I0050005&amp;FLNO=3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2012-11-12T04:57:00Z</dcterms:created>
  <dcterms:modified xsi:type="dcterms:W3CDTF">2012-11-12T05:03:00Z</dcterms:modified>
</cp:coreProperties>
</file>